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E3E41">
      <w:pPr>
        <w:spacing w:after="50" w:line="300" w:lineRule="auto"/>
        <w:rPr>
          <w:rFonts w:ascii="宋体" w:hAnsi="宋体" w:cs="宋体"/>
          <w:b/>
          <w:sz w:val="32"/>
          <w:szCs w:val="32"/>
        </w:rPr>
      </w:pPr>
      <w:r>
        <w:rPr>
          <w:rFonts w:hint="eastAsia" w:ascii="宋体" w:hAnsi="宋体" w:cs="宋体"/>
          <w:b/>
          <w:sz w:val="32"/>
          <w:szCs w:val="32"/>
        </w:rPr>
        <w:t>附件三 合同（范本）</w:t>
      </w:r>
    </w:p>
    <w:p w14:paraId="5EB6541C">
      <w:pPr>
        <w:spacing w:line="288" w:lineRule="auto"/>
        <w:jc w:val="center"/>
        <w:outlineLvl w:val="1"/>
        <w:rPr>
          <w:rFonts w:hint="eastAsia" w:ascii="仿宋" w:hAnsi="仿宋" w:eastAsia="仿宋" w:cs="仿宋"/>
          <w:bCs/>
          <w:color w:val="000000"/>
          <w:sz w:val="24"/>
        </w:rPr>
      </w:pPr>
      <w:r>
        <w:rPr>
          <w:rFonts w:hint="eastAsia" w:ascii="仿宋" w:hAnsi="仿宋" w:eastAsia="仿宋" w:cs="仿宋"/>
          <w:b/>
          <w:color w:val="000000"/>
          <w:sz w:val="24"/>
        </w:rPr>
        <w:t>采购合同</w:t>
      </w:r>
    </w:p>
    <w:p w14:paraId="3E35DD99">
      <w:pPr>
        <w:spacing w:line="288" w:lineRule="auto"/>
        <w:rPr>
          <w:rFonts w:hint="eastAsia" w:ascii="仿宋" w:hAnsi="仿宋" w:eastAsia="仿宋" w:cs="仿宋"/>
          <w:b/>
          <w:spacing w:val="-6"/>
          <w:szCs w:val="21"/>
        </w:rPr>
      </w:pPr>
      <w:r>
        <w:rPr>
          <w:rFonts w:hint="eastAsia" w:ascii="仿宋" w:hAnsi="仿宋" w:eastAsia="仿宋" w:cs="仿宋"/>
          <w:b/>
          <w:spacing w:val="-6"/>
          <w:szCs w:val="21"/>
        </w:rPr>
        <w:t>项目名称</w:t>
      </w:r>
      <w:r>
        <w:rPr>
          <w:rFonts w:hint="eastAsia" w:ascii="仿宋" w:hAnsi="仿宋" w:eastAsia="仿宋" w:cs="仿宋"/>
          <w:bCs/>
          <w:spacing w:val="-6"/>
          <w:szCs w:val="21"/>
        </w:rPr>
        <w:t>：</w:t>
      </w:r>
      <w:r>
        <w:rPr>
          <w:rFonts w:ascii="仿宋" w:hAnsi="仿宋" w:eastAsia="仿宋" w:cs="仿宋"/>
          <w:spacing w:val="-6"/>
          <w:szCs w:val="21"/>
        </w:rPr>
        <w:t>浙江光电子研究院</w:t>
      </w:r>
      <w:r>
        <w:rPr>
          <w:rFonts w:hint="eastAsia" w:ascii="仿宋" w:hAnsi="仿宋" w:eastAsia="仿宋" w:cs="仿宋"/>
          <w:spacing w:val="-6"/>
          <w:szCs w:val="21"/>
        </w:rPr>
        <w:t xml:space="preserve"> </w:t>
      </w:r>
      <w:r>
        <w:rPr>
          <w:rFonts w:ascii="仿宋" w:hAnsi="仿宋" w:eastAsia="仿宋" w:cs="仿宋"/>
          <w:spacing w:val="-6"/>
          <w:szCs w:val="21"/>
        </w:rPr>
        <w:t xml:space="preserve">     项目</w:t>
      </w:r>
    </w:p>
    <w:p w14:paraId="45532AA3">
      <w:pPr>
        <w:spacing w:line="288" w:lineRule="auto"/>
        <w:rPr>
          <w:rFonts w:hint="eastAsia" w:ascii="仿宋" w:hAnsi="仿宋" w:eastAsia="仿宋" w:cs="仿宋"/>
          <w:spacing w:val="-6"/>
          <w:szCs w:val="21"/>
        </w:rPr>
      </w:pPr>
      <w:r>
        <w:rPr>
          <w:rFonts w:hint="eastAsia" w:ascii="仿宋" w:hAnsi="仿宋" w:eastAsia="仿宋" w:cs="仿宋"/>
          <w:b/>
          <w:spacing w:val="-6"/>
          <w:szCs w:val="21"/>
        </w:rPr>
        <w:t>项目编号：</w:t>
      </w:r>
    </w:p>
    <w:p w14:paraId="571594B1">
      <w:pPr>
        <w:spacing w:line="288" w:lineRule="auto"/>
        <w:rPr>
          <w:rFonts w:hint="eastAsia" w:ascii="仿宋" w:hAnsi="仿宋" w:eastAsia="仿宋" w:cs="仿宋"/>
          <w:b/>
          <w:spacing w:val="-6"/>
          <w:szCs w:val="21"/>
        </w:rPr>
      </w:pPr>
      <w:r>
        <w:rPr>
          <w:rFonts w:hint="eastAsia" w:ascii="仿宋" w:hAnsi="仿宋" w:eastAsia="仿宋" w:cs="仿宋"/>
          <w:b/>
          <w:spacing w:val="-6"/>
          <w:szCs w:val="21"/>
        </w:rPr>
        <w:t>甲方（需方）：</w:t>
      </w:r>
      <w:r>
        <w:rPr>
          <w:rFonts w:hint="eastAsia" w:ascii="仿宋" w:hAnsi="仿宋" w:eastAsia="仿宋" w:cs="仿宋"/>
          <w:spacing w:val="-6"/>
          <w:szCs w:val="21"/>
        </w:rPr>
        <w:t>浙江光电子研究院</w:t>
      </w:r>
    </w:p>
    <w:p w14:paraId="5D2AE69F">
      <w:pPr>
        <w:spacing w:line="288" w:lineRule="auto"/>
        <w:rPr>
          <w:rFonts w:hint="eastAsia" w:ascii="仿宋" w:hAnsi="仿宋" w:eastAsia="仿宋" w:cs="仿宋"/>
          <w:b/>
          <w:spacing w:val="-6"/>
          <w:szCs w:val="21"/>
        </w:rPr>
      </w:pPr>
      <w:r>
        <w:rPr>
          <w:rFonts w:hint="eastAsia" w:ascii="仿宋" w:hAnsi="仿宋" w:eastAsia="仿宋" w:cs="仿宋"/>
          <w:b/>
          <w:spacing w:val="-6"/>
          <w:szCs w:val="21"/>
        </w:rPr>
        <w:t>乙方（供方）：</w:t>
      </w:r>
      <w:r>
        <w:rPr>
          <w:rFonts w:hint="eastAsia" w:ascii="仿宋" w:hAnsi="仿宋" w:eastAsia="仿宋" w:cs="仿宋"/>
          <w:spacing w:val="-6"/>
          <w:szCs w:val="21"/>
        </w:rPr>
        <w:t xml:space="preserve">【 </w:t>
      </w:r>
      <w:r>
        <w:rPr>
          <w:rFonts w:ascii="仿宋" w:hAnsi="仿宋" w:eastAsia="仿宋" w:cs="仿宋"/>
          <w:spacing w:val="-6"/>
          <w:szCs w:val="21"/>
        </w:rPr>
        <w:t xml:space="preserve">    </w:t>
      </w:r>
      <w:r>
        <w:rPr>
          <w:rFonts w:hint="eastAsia" w:ascii="仿宋" w:hAnsi="仿宋" w:eastAsia="仿宋" w:cs="仿宋"/>
          <w:spacing w:val="-6"/>
          <w:szCs w:val="21"/>
        </w:rPr>
        <w:t>】</w:t>
      </w:r>
    </w:p>
    <w:p w14:paraId="217DC44E">
      <w:pPr>
        <w:spacing w:line="288" w:lineRule="auto"/>
        <w:contextualSpacing/>
        <w:rPr>
          <w:rFonts w:hint="eastAsia" w:ascii="仿宋" w:hAnsi="仿宋" w:eastAsia="仿宋" w:cs="仿宋"/>
          <w:spacing w:val="-6"/>
          <w:szCs w:val="21"/>
        </w:rPr>
      </w:pPr>
      <w:r>
        <w:rPr>
          <w:rFonts w:hint="eastAsia" w:ascii="仿宋" w:hAnsi="仿宋" w:eastAsia="仿宋" w:cs="仿宋"/>
          <w:b/>
          <w:bCs/>
          <w:spacing w:val="-6"/>
          <w:szCs w:val="21"/>
        </w:rPr>
        <w:t>签订时间：</w:t>
      </w:r>
      <w:r>
        <w:rPr>
          <w:rFonts w:hint="eastAsia" w:ascii="仿宋" w:hAnsi="仿宋" w:eastAsia="仿宋" w:cs="仿宋"/>
          <w:spacing w:val="-6"/>
          <w:szCs w:val="21"/>
        </w:rPr>
        <w:t xml:space="preserve"> </w:t>
      </w:r>
    </w:p>
    <w:p w14:paraId="0921FFAF">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 xml:space="preserve">为保护供、需双方的合法权益，根据相关法律法规规定，浙江光电子研究院经公开询价，确定【 </w:t>
      </w:r>
      <w:r>
        <w:rPr>
          <w:rFonts w:ascii="仿宋" w:hAnsi="仿宋" w:eastAsia="仿宋" w:cs="仿宋"/>
          <w:spacing w:val="-6"/>
          <w:szCs w:val="21"/>
        </w:rPr>
        <w:t xml:space="preserve">   </w:t>
      </w:r>
      <w:r>
        <w:rPr>
          <w:rFonts w:hint="eastAsia" w:ascii="仿宋" w:hAnsi="仿宋" w:eastAsia="仿宋" w:cs="仿宋"/>
          <w:spacing w:val="-6"/>
          <w:szCs w:val="21"/>
        </w:rPr>
        <w:t xml:space="preserve">】为浙江光电子研究院 </w:t>
      </w:r>
      <w:r>
        <w:rPr>
          <w:rFonts w:ascii="仿宋" w:hAnsi="仿宋" w:eastAsia="仿宋" w:cs="仿宋"/>
          <w:spacing w:val="-6"/>
          <w:szCs w:val="21"/>
        </w:rPr>
        <w:t xml:space="preserve">   </w:t>
      </w:r>
      <w:r>
        <w:rPr>
          <w:rFonts w:hint="eastAsia" w:ascii="仿宋" w:hAnsi="仿宋" w:eastAsia="仿宋" w:cs="仿宋"/>
          <w:spacing w:val="-6"/>
          <w:szCs w:val="21"/>
        </w:rPr>
        <w:t>项目</w:t>
      </w:r>
      <w:r>
        <w:rPr>
          <w:rFonts w:hint="eastAsia" w:ascii="仿宋" w:hAnsi="仿宋" w:eastAsia="仿宋" w:cs="仿宋"/>
          <w:bCs/>
          <w:spacing w:val="-6"/>
          <w:szCs w:val="21"/>
        </w:rPr>
        <w:t>[</w:t>
      </w:r>
      <w:r>
        <w:rPr>
          <w:rFonts w:hint="eastAsia" w:ascii="仿宋" w:hAnsi="仿宋" w:eastAsia="仿宋" w:cs="仿宋"/>
          <w:spacing w:val="-6"/>
          <w:szCs w:val="21"/>
        </w:rPr>
        <w:t xml:space="preserve">项目编号 </w:t>
      </w:r>
      <w:r>
        <w:rPr>
          <w:rFonts w:ascii="仿宋" w:hAnsi="仿宋" w:eastAsia="仿宋" w:cs="仿宋"/>
          <w:spacing w:val="-6"/>
          <w:szCs w:val="21"/>
        </w:rPr>
        <w:t xml:space="preserve">  </w:t>
      </w:r>
      <w:r>
        <w:rPr>
          <w:rFonts w:hint="eastAsia" w:ascii="仿宋" w:hAnsi="仿宋" w:eastAsia="仿宋" w:cs="仿宋"/>
          <w:spacing w:val="-6"/>
          <w:szCs w:val="21"/>
        </w:rPr>
        <w:t>]的中标人。根据《中华人民共和国民法典》规定，经甲、乙双方协商达成以下协议：</w:t>
      </w:r>
    </w:p>
    <w:p w14:paraId="34AD6282">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第一条：采购内容及合同价格</w:t>
      </w:r>
    </w:p>
    <w:tbl>
      <w:tblPr>
        <w:tblStyle w:val="5"/>
        <w:tblW w:w="1081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89"/>
        <w:gridCol w:w="1860"/>
        <w:gridCol w:w="1984"/>
        <w:gridCol w:w="709"/>
        <w:gridCol w:w="709"/>
        <w:gridCol w:w="1276"/>
        <w:gridCol w:w="2292"/>
        <w:gridCol w:w="1300"/>
      </w:tblGrid>
      <w:tr w14:paraId="0127C8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89" w:type="dxa"/>
            <w:noWrap w:val="0"/>
            <w:vAlign w:val="center"/>
          </w:tcPr>
          <w:p w14:paraId="60B123D5">
            <w:pPr>
              <w:jc w:val="center"/>
              <w:rPr>
                <w:rFonts w:hint="eastAsia" w:ascii="仿宋" w:hAnsi="仿宋" w:eastAsia="仿宋" w:cs="仿宋"/>
                <w:szCs w:val="21"/>
              </w:rPr>
            </w:pPr>
            <w:r>
              <w:rPr>
                <w:rFonts w:hint="eastAsia" w:ascii="仿宋" w:hAnsi="仿宋" w:eastAsia="仿宋" w:cs="仿宋"/>
                <w:szCs w:val="21"/>
                <w:lang w:val="zh-CN"/>
              </w:rPr>
              <w:t>序号</w:t>
            </w:r>
          </w:p>
        </w:tc>
        <w:tc>
          <w:tcPr>
            <w:tcW w:w="1860" w:type="dxa"/>
            <w:noWrap w:val="0"/>
            <w:vAlign w:val="center"/>
          </w:tcPr>
          <w:p w14:paraId="0776B6E7">
            <w:pPr>
              <w:jc w:val="center"/>
              <w:rPr>
                <w:rFonts w:hint="eastAsia" w:ascii="仿宋" w:hAnsi="仿宋" w:eastAsia="仿宋" w:cs="仿宋"/>
                <w:szCs w:val="21"/>
              </w:rPr>
            </w:pPr>
            <w:r>
              <w:rPr>
                <w:rFonts w:hint="eastAsia" w:ascii="仿宋" w:hAnsi="仿宋" w:eastAsia="仿宋" w:cs="仿宋"/>
                <w:szCs w:val="21"/>
              </w:rPr>
              <w:t>货物</w:t>
            </w:r>
            <w:r>
              <w:rPr>
                <w:rFonts w:hint="eastAsia" w:ascii="仿宋" w:hAnsi="仿宋" w:eastAsia="仿宋" w:cs="仿宋"/>
                <w:szCs w:val="21"/>
                <w:lang w:val="zh-CN"/>
              </w:rPr>
              <w:t>名称</w:t>
            </w:r>
          </w:p>
        </w:tc>
        <w:tc>
          <w:tcPr>
            <w:tcW w:w="1984" w:type="dxa"/>
            <w:noWrap w:val="0"/>
            <w:vAlign w:val="center"/>
          </w:tcPr>
          <w:p w14:paraId="7586F38A">
            <w:pPr>
              <w:jc w:val="center"/>
              <w:rPr>
                <w:rFonts w:hint="eastAsia" w:ascii="仿宋" w:hAnsi="仿宋" w:eastAsia="仿宋" w:cs="仿宋"/>
                <w:szCs w:val="21"/>
              </w:rPr>
            </w:pPr>
            <w:r>
              <w:rPr>
                <w:rFonts w:hint="eastAsia" w:ascii="仿宋" w:hAnsi="仿宋" w:eastAsia="仿宋" w:cs="仿宋"/>
                <w:szCs w:val="21"/>
                <w:lang w:val="zh-CN"/>
              </w:rPr>
              <w:t>品牌、型号</w:t>
            </w:r>
          </w:p>
        </w:tc>
        <w:tc>
          <w:tcPr>
            <w:tcW w:w="709" w:type="dxa"/>
            <w:noWrap w:val="0"/>
            <w:vAlign w:val="center"/>
          </w:tcPr>
          <w:p w14:paraId="3E5A02F6">
            <w:pPr>
              <w:jc w:val="center"/>
              <w:rPr>
                <w:rFonts w:hint="eastAsia" w:ascii="仿宋" w:hAnsi="仿宋" w:eastAsia="仿宋" w:cs="仿宋"/>
                <w:szCs w:val="21"/>
              </w:rPr>
            </w:pPr>
            <w:r>
              <w:rPr>
                <w:rFonts w:hint="eastAsia" w:ascii="仿宋" w:hAnsi="仿宋" w:eastAsia="仿宋" w:cs="仿宋"/>
                <w:szCs w:val="21"/>
                <w:lang w:val="zh-CN"/>
              </w:rPr>
              <w:t>数量</w:t>
            </w:r>
          </w:p>
        </w:tc>
        <w:tc>
          <w:tcPr>
            <w:tcW w:w="709" w:type="dxa"/>
            <w:noWrap w:val="0"/>
            <w:vAlign w:val="center"/>
          </w:tcPr>
          <w:p w14:paraId="29AEFE56">
            <w:pPr>
              <w:jc w:val="center"/>
              <w:rPr>
                <w:rFonts w:hint="eastAsia" w:ascii="仿宋" w:hAnsi="仿宋" w:eastAsia="仿宋" w:cs="仿宋"/>
                <w:szCs w:val="21"/>
              </w:rPr>
            </w:pPr>
            <w:r>
              <w:rPr>
                <w:rFonts w:hint="eastAsia" w:ascii="仿宋" w:hAnsi="仿宋" w:eastAsia="仿宋" w:cs="仿宋"/>
                <w:szCs w:val="21"/>
                <w:lang w:val="zh-CN"/>
              </w:rPr>
              <w:t>单位</w:t>
            </w:r>
          </w:p>
        </w:tc>
        <w:tc>
          <w:tcPr>
            <w:tcW w:w="1276" w:type="dxa"/>
            <w:noWrap w:val="0"/>
            <w:vAlign w:val="center"/>
          </w:tcPr>
          <w:p w14:paraId="24E240A6">
            <w:pPr>
              <w:jc w:val="center"/>
              <w:rPr>
                <w:rFonts w:hint="eastAsia" w:ascii="仿宋" w:hAnsi="仿宋" w:eastAsia="仿宋" w:cs="仿宋"/>
                <w:szCs w:val="21"/>
              </w:rPr>
            </w:pPr>
            <w:r>
              <w:rPr>
                <w:rFonts w:hint="eastAsia" w:ascii="仿宋" w:hAnsi="仿宋" w:eastAsia="仿宋" w:cs="仿宋"/>
                <w:szCs w:val="21"/>
                <w:lang w:val="zh-CN"/>
              </w:rPr>
              <w:t>不含税单价（元）</w:t>
            </w:r>
          </w:p>
        </w:tc>
        <w:tc>
          <w:tcPr>
            <w:tcW w:w="2292" w:type="dxa"/>
            <w:noWrap w:val="0"/>
            <w:vAlign w:val="top"/>
          </w:tcPr>
          <w:p w14:paraId="21D15AE9">
            <w:pPr>
              <w:jc w:val="center"/>
              <w:rPr>
                <w:rFonts w:hint="eastAsia" w:ascii="仿宋" w:hAnsi="仿宋" w:eastAsia="仿宋" w:cs="仿宋"/>
                <w:szCs w:val="21"/>
                <w:lang w:val="zh-CN"/>
              </w:rPr>
            </w:pPr>
            <w:r>
              <w:rPr>
                <w:rFonts w:hint="eastAsia" w:ascii="仿宋" w:hAnsi="仿宋" w:eastAsia="仿宋" w:cs="仿宋"/>
                <w:szCs w:val="21"/>
                <w:lang w:val="zh-CN"/>
              </w:rPr>
              <w:t>增值税</w:t>
            </w:r>
          </w:p>
          <w:p w14:paraId="62AF61D7">
            <w:pPr>
              <w:jc w:val="center"/>
              <w:rPr>
                <w:rFonts w:hint="eastAsia" w:ascii="仿宋" w:hAnsi="仿宋" w:eastAsia="仿宋" w:cs="仿宋"/>
                <w:szCs w:val="21"/>
                <w:lang w:val="zh-CN"/>
              </w:rPr>
            </w:pPr>
            <w:r>
              <w:rPr>
                <w:rFonts w:hint="eastAsia" w:ascii="仿宋" w:hAnsi="仿宋" w:eastAsia="仿宋" w:cs="仿宋"/>
                <w:szCs w:val="21"/>
                <w:lang w:val="zh-CN"/>
              </w:rPr>
              <w:t>（元）</w:t>
            </w:r>
          </w:p>
        </w:tc>
        <w:tc>
          <w:tcPr>
            <w:tcW w:w="1300" w:type="dxa"/>
            <w:noWrap w:val="0"/>
            <w:vAlign w:val="center"/>
          </w:tcPr>
          <w:p w14:paraId="41C93CA7">
            <w:pPr>
              <w:jc w:val="center"/>
              <w:rPr>
                <w:rFonts w:hint="eastAsia" w:ascii="仿宋" w:hAnsi="仿宋" w:eastAsia="仿宋" w:cs="仿宋"/>
                <w:szCs w:val="21"/>
              </w:rPr>
            </w:pPr>
            <w:r>
              <w:rPr>
                <w:rFonts w:hint="eastAsia" w:ascii="仿宋" w:hAnsi="仿宋" w:eastAsia="仿宋" w:cs="仿宋"/>
                <w:szCs w:val="21"/>
                <w:lang w:val="zh-CN"/>
              </w:rPr>
              <w:t>合计（元）</w:t>
            </w:r>
          </w:p>
        </w:tc>
      </w:tr>
      <w:tr w14:paraId="5C3235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689" w:type="dxa"/>
            <w:noWrap w:val="0"/>
            <w:vAlign w:val="center"/>
          </w:tcPr>
          <w:p w14:paraId="1EF3F742">
            <w:pPr>
              <w:jc w:val="center"/>
              <w:rPr>
                <w:rFonts w:hint="eastAsia" w:ascii="仿宋" w:hAnsi="仿宋" w:eastAsia="仿宋" w:cs="仿宋"/>
                <w:szCs w:val="21"/>
              </w:rPr>
            </w:pPr>
            <w:r>
              <w:rPr>
                <w:rFonts w:hint="eastAsia" w:ascii="仿宋" w:hAnsi="仿宋" w:eastAsia="仿宋" w:cs="仿宋"/>
                <w:szCs w:val="21"/>
              </w:rPr>
              <w:t>1</w:t>
            </w:r>
          </w:p>
        </w:tc>
        <w:tc>
          <w:tcPr>
            <w:tcW w:w="1860" w:type="dxa"/>
            <w:noWrap w:val="0"/>
            <w:vAlign w:val="center"/>
          </w:tcPr>
          <w:p w14:paraId="5D572477">
            <w:pPr>
              <w:jc w:val="center"/>
              <w:rPr>
                <w:rFonts w:hint="eastAsia" w:ascii="仿宋" w:hAnsi="仿宋" w:eastAsia="仿宋" w:cs="仿宋"/>
                <w:szCs w:val="21"/>
              </w:rPr>
            </w:pPr>
          </w:p>
        </w:tc>
        <w:tc>
          <w:tcPr>
            <w:tcW w:w="1984" w:type="dxa"/>
            <w:noWrap w:val="0"/>
            <w:vAlign w:val="center"/>
          </w:tcPr>
          <w:p w14:paraId="4221FDCA">
            <w:pPr>
              <w:jc w:val="center"/>
              <w:rPr>
                <w:rFonts w:hint="eastAsia" w:ascii="仿宋" w:hAnsi="仿宋" w:eastAsia="仿宋" w:cs="仿宋"/>
                <w:szCs w:val="21"/>
              </w:rPr>
            </w:pPr>
          </w:p>
        </w:tc>
        <w:tc>
          <w:tcPr>
            <w:tcW w:w="709" w:type="dxa"/>
            <w:noWrap w:val="0"/>
            <w:vAlign w:val="center"/>
          </w:tcPr>
          <w:p w14:paraId="09B8210F">
            <w:pPr>
              <w:jc w:val="center"/>
              <w:rPr>
                <w:rFonts w:hint="eastAsia" w:ascii="仿宋" w:hAnsi="仿宋" w:eastAsia="仿宋" w:cs="仿宋"/>
                <w:szCs w:val="21"/>
              </w:rPr>
            </w:pPr>
          </w:p>
        </w:tc>
        <w:tc>
          <w:tcPr>
            <w:tcW w:w="709" w:type="dxa"/>
            <w:noWrap w:val="0"/>
            <w:vAlign w:val="center"/>
          </w:tcPr>
          <w:p w14:paraId="04D802A7">
            <w:pPr>
              <w:jc w:val="center"/>
              <w:rPr>
                <w:rFonts w:hint="eastAsia" w:ascii="仿宋" w:hAnsi="仿宋" w:eastAsia="仿宋" w:cs="仿宋"/>
                <w:szCs w:val="21"/>
              </w:rPr>
            </w:pPr>
          </w:p>
        </w:tc>
        <w:tc>
          <w:tcPr>
            <w:tcW w:w="1276" w:type="dxa"/>
            <w:noWrap w:val="0"/>
            <w:vAlign w:val="center"/>
          </w:tcPr>
          <w:p w14:paraId="48BDA21D">
            <w:pPr>
              <w:jc w:val="center"/>
              <w:rPr>
                <w:rFonts w:hint="eastAsia" w:ascii="仿宋" w:hAnsi="仿宋" w:eastAsia="仿宋" w:cs="仿宋"/>
                <w:szCs w:val="21"/>
              </w:rPr>
            </w:pPr>
          </w:p>
        </w:tc>
        <w:tc>
          <w:tcPr>
            <w:tcW w:w="2292" w:type="dxa"/>
            <w:noWrap w:val="0"/>
            <w:vAlign w:val="top"/>
          </w:tcPr>
          <w:p w14:paraId="1CB024DD">
            <w:pPr>
              <w:jc w:val="center"/>
              <w:rPr>
                <w:rFonts w:hint="eastAsia" w:ascii="仿宋" w:hAnsi="仿宋" w:eastAsia="仿宋" w:cs="仿宋"/>
                <w:szCs w:val="21"/>
              </w:rPr>
            </w:pPr>
          </w:p>
        </w:tc>
        <w:tc>
          <w:tcPr>
            <w:tcW w:w="1300" w:type="dxa"/>
            <w:noWrap w:val="0"/>
            <w:vAlign w:val="center"/>
          </w:tcPr>
          <w:p w14:paraId="192DBEEB">
            <w:pPr>
              <w:jc w:val="center"/>
              <w:rPr>
                <w:rFonts w:hint="eastAsia" w:ascii="仿宋" w:hAnsi="仿宋" w:eastAsia="仿宋" w:cs="仿宋"/>
                <w:szCs w:val="21"/>
              </w:rPr>
            </w:pPr>
          </w:p>
        </w:tc>
      </w:tr>
      <w:tr w14:paraId="712ECD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10819" w:type="dxa"/>
            <w:gridSpan w:val="8"/>
            <w:noWrap w:val="0"/>
            <w:vAlign w:val="top"/>
          </w:tcPr>
          <w:p w14:paraId="0BC49021">
            <w:pPr>
              <w:rPr>
                <w:rFonts w:hint="eastAsia" w:ascii="仿宋" w:hAnsi="仿宋" w:eastAsia="仿宋" w:cs="仿宋"/>
                <w:szCs w:val="21"/>
              </w:rPr>
            </w:pPr>
            <w:r>
              <w:rPr>
                <w:rFonts w:hint="eastAsia" w:ascii="仿宋" w:hAnsi="仿宋" w:eastAsia="仿宋" w:cs="仿宋"/>
                <w:szCs w:val="21"/>
              </w:rPr>
              <w:t>总计：人民币（大写）【】元（</w:t>
            </w:r>
            <w:r>
              <w:rPr>
                <w:rFonts w:eastAsia="仿宋" w:cs="Calibri"/>
                <w:szCs w:val="21"/>
              </w:rPr>
              <w:t>¥</w:t>
            </w:r>
            <w:r>
              <w:rPr>
                <w:rFonts w:hint="eastAsia" w:ascii="仿宋" w:hAnsi="仿宋" w:eastAsia="仿宋" w:cs="仿宋"/>
                <w:szCs w:val="21"/>
              </w:rPr>
              <w:t>元）</w:t>
            </w:r>
          </w:p>
        </w:tc>
      </w:tr>
      <w:tr w14:paraId="525C82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10819" w:type="dxa"/>
            <w:gridSpan w:val="8"/>
            <w:noWrap w:val="0"/>
            <w:vAlign w:val="top"/>
          </w:tcPr>
          <w:p w14:paraId="06786414">
            <w:pPr>
              <w:rPr>
                <w:rFonts w:hint="eastAsia" w:ascii="仿宋" w:hAnsi="仿宋" w:eastAsia="仿宋" w:cs="仿宋"/>
                <w:sz w:val="18"/>
                <w:szCs w:val="18"/>
              </w:rPr>
            </w:pPr>
            <w:r>
              <w:rPr>
                <w:rFonts w:hint="eastAsia" w:ascii="仿宋" w:hAnsi="仿宋" w:eastAsia="仿宋" w:cs="仿宋"/>
                <w:sz w:val="18"/>
                <w:szCs w:val="18"/>
              </w:rPr>
              <w:t>注：</w:t>
            </w:r>
          </w:p>
          <w:p w14:paraId="306734E8">
            <w:pPr>
              <w:rPr>
                <w:rFonts w:hint="eastAsia" w:ascii="仿宋" w:hAnsi="仿宋" w:eastAsia="仿宋" w:cs="仿宋"/>
                <w:sz w:val="18"/>
                <w:szCs w:val="18"/>
              </w:rPr>
            </w:pPr>
            <w:r>
              <w:rPr>
                <w:rFonts w:hint="eastAsia" w:ascii="仿宋" w:hAnsi="仿宋" w:eastAsia="仿宋" w:cs="仿宋"/>
                <w:sz w:val="18"/>
                <w:szCs w:val="18"/>
              </w:rPr>
              <w:t>1.以上价格为含税价，税率为【13】%，按国家相应品类的增值税专用发票税率执行，税金由乙方承担。税率根据国家政策确定，税率发生变更时，变更后的付款金额为：变更前合同含税金额÷（1+变更前税率）×（1+变更后税率）；</w:t>
            </w:r>
          </w:p>
          <w:p w14:paraId="48125D76">
            <w:pPr>
              <w:rPr>
                <w:rFonts w:hint="eastAsia" w:ascii="仿宋" w:hAnsi="仿宋" w:eastAsia="仿宋" w:cs="仿宋"/>
                <w:sz w:val="18"/>
                <w:szCs w:val="18"/>
              </w:rPr>
            </w:pPr>
            <w:r>
              <w:rPr>
                <w:rFonts w:hint="eastAsia" w:ascii="仿宋" w:hAnsi="仿宋" w:eastAsia="仿宋" w:cs="仿宋"/>
                <w:sz w:val="18"/>
                <w:szCs w:val="18"/>
              </w:rPr>
              <w:t>2.以上合同总价包含</w:t>
            </w:r>
            <w:r>
              <w:rPr>
                <w:rFonts w:hint="eastAsia" w:ascii="仿宋" w:hAnsi="仿宋" w:eastAsia="仿宋" w:cs="仿宋"/>
                <w:bCs/>
                <w:spacing w:val="-6"/>
                <w:sz w:val="18"/>
                <w:szCs w:val="18"/>
              </w:rPr>
              <w:t>货物（包括主机、标准附件、备品备件、专用工具）金额、仓储、包装、运输、保险、装卸、安装、调试、培训、食宿及相关材料费、检验费及税金等为确保合法、正常使用货物及乙方履行合同项下约定的所有义务所需支出的全部费用</w:t>
            </w:r>
            <w:r>
              <w:rPr>
                <w:rFonts w:hint="eastAsia" w:ascii="仿宋" w:hAnsi="仿宋" w:eastAsia="仿宋" w:cs="仿宋"/>
                <w:sz w:val="18"/>
                <w:szCs w:val="18"/>
              </w:rPr>
              <w:t>。</w:t>
            </w:r>
          </w:p>
          <w:p w14:paraId="5D53637A">
            <w:pPr>
              <w:rPr>
                <w:rFonts w:hint="eastAsia" w:ascii="仿宋" w:hAnsi="仿宋" w:eastAsia="仿宋" w:cs="仿宋"/>
                <w:sz w:val="18"/>
                <w:szCs w:val="18"/>
              </w:rPr>
            </w:pPr>
            <w:r>
              <w:rPr>
                <w:rFonts w:hint="eastAsia" w:ascii="仿宋" w:hAnsi="仿宋" w:eastAsia="仿宋" w:cs="仿宋"/>
                <w:bCs/>
                <w:spacing w:val="-6"/>
                <w:sz w:val="18"/>
                <w:szCs w:val="18"/>
              </w:rPr>
              <w:t>2</w:t>
            </w:r>
            <w:r>
              <w:rPr>
                <w:rFonts w:ascii="仿宋" w:hAnsi="仿宋" w:eastAsia="仿宋" w:cs="仿宋"/>
                <w:bCs/>
                <w:spacing w:val="-6"/>
                <w:sz w:val="18"/>
                <w:szCs w:val="18"/>
              </w:rPr>
              <w:t>.</w:t>
            </w:r>
            <w:r>
              <w:rPr>
                <w:rFonts w:hint="eastAsia" w:ascii="仿宋" w:hAnsi="仿宋" w:eastAsia="仿宋" w:cs="仿宋"/>
                <w:bCs/>
                <w:spacing w:val="-6"/>
                <w:sz w:val="18"/>
                <w:szCs w:val="18"/>
              </w:rPr>
              <w:t>货物具体配置参照询价文件及响应文件。</w:t>
            </w:r>
          </w:p>
        </w:tc>
      </w:tr>
    </w:tbl>
    <w:p w14:paraId="2B66FFA5">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第二条：付款方式</w:t>
      </w:r>
    </w:p>
    <w:p w14:paraId="227D521C">
      <w:pPr>
        <w:adjustRightInd w:val="0"/>
        <w:snapToGrid w:val="0"/>
        <w:spacing w:line="288" w:lineRule="auto"/>
        <w:ind w:firstLine="396" w:firstLineChars="200"/>
        <w:rPr>
          <w:rFonts w:hint="eastAsia" w:ascii="仿宋" w:hAnsi="仿宋" w:eastAsia="仿宋" w:cs="仿宋"/>
          <w:bCs/>
          <w:spacing w:val="-6"/>
          <w:szCs w:val="21"/>
        </w:rPr>
      </w:pPr>
      <w:r>
        <w:rPr>
          <w:rFonts w:hint="eastAsia" w:ascii="仿宋" w:hAnsi="仿宋" w:eastAsia="仿宋" w:cs="仿宋"/>
          <w:bCs/>
          <w:spacing w:val="-6"/>
          <w:szCs w:val="21"/>
        </w:rPr>
        <w:t>甲方收到货物并验收合格后15个工作日内一次性支付合同价款；</w:t>
      </w:r>
    </w:p>
    <w:p w14:paraId="7B1833BE">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第三条：履约保证金</w:t>
      </w:r>
    </w:p>
    <w:p w14:paraId="0807A7FE">
      <w:pPr>
        <w:adjustRightInd w:val="0"/>
        <w:snapToGrid w:val="0"/>
        <w:spacing w:line="288" w:lineRule="auto"/>
        <w:ind w:firstLine="396" w:firstLineChars="200"/>
        <w:rPr>
          <w:rFonts w:hint="eastAsia" w:ascii="仿宋" w:hAnsi="仿宋" w:eastAsia="仿宋" w:cs="仿宋"/>
          <w:bCs/>
          <w:spacing w:val="-6"/>
          <w:szCs w:val="21"/>
        </w:rPr>
      </w:pPr>
      <w:r>
        <w:rPr>
          <w:rFonts w:ascii="仿宋" w:hAnsi="仿宋" w:eastAsia="仿宋" w:cs="仿宋"/>
          <w:bCs/>
          <w:spacing w:val="-6"/>
          <w:szCs w:val="21"/>
        </w:rPr>
        <w:t>1.</w:t>
      </w:r>
      <w:r>
        <w:rPr>
          <w:rFonts w:hint="eastAsia" w:ascii="仿宋" w:hAnsi="仿宋" w:eastAsia="仿宋" w:cs="仿宋"/>
          <w:bCs/>
          <w:spacing w:val="-6"/>
          <w:szCs w:val="21"/>
        </w:rPr>
        <w:t>采购合同</w:t>
      </w:r>
      <w:r>
        <w:rPr>
          <w:rFonts w:ascii="仿宋" w:hAnsi="仿宋" w:eastAsia="仿宋" w:cs="仿宋"/>
          <w:bCs/>
          <w:spacing w:val="-6"/>
          <w:szCs w:val="21"/>
        </w:rPr>
        <w:t>签订后7个工作日内，</w:t>
      </w:r>
      <w:r>
        <w:rPr>
          <w:rFonts w:hint="eastAsia" w:ascii="仿宋" w:hAnsi="仿宋" w:eastAsia="仿宋" w:cs="仿宋"/>
          <w:bCs/>
          <w:spacing w:val="-6"/>
          <w:szCs w:val="21"/>
        </w:rPr>
        <w:t>乙方</w:t>
      </w:r>
      <w:r>
        <w:rPr>
          <w:rFonts w:ascii="仿宋" w:hAnsi="仿宋" w:eastAsia="仿宋" w:cs="仿宋"/>
          <w:bCs/>
          <w:spacing w:val="-6"/>
          <w:szCs w:val="21"/>
        </w:rPr>
        <w:t>应向</w:t>
      </w:r>
      <w:r>
        <w:rPr>
          <w:rFonts w:hint="eastAsia" w:ascii="仿宋" w:hAnsi="仿宋" w:eastAsia="仿宋" w:cs="仿宋"/>
          <w:bCs/>
          <w:spacing w:val="-6"/>
          <w:szCs w:val="21"/>
        </w:rPr>
        <w:t>甲方</w:t>
      </w:r>
      <w:r>
        <w:rPr>
          <w:rFonts w:ascii="仿宋" w:hAnsi="仿宋" w:eastAsia="仿宋" w:cs="仿宋"/>
          <w:bCs/>
          <w:spacing w:val="-6"/>
          <w:szCs w:val="21"/>
        </w:rPr>
        <w:t>支付</w:t>
      </w:r>
      <w:r>
        <w:rPr>
          <w:rFonts w:hint="eastAsia" w:ascii="仿宋" w:hAnsi="仿宋" w:eastAsia="仿宋" w:cs="仿宋"/>
          <w:bCs/>
          <w:spacing w:val="-6"/>
          <w:szCs w:val="21"/>
        </w:rPr>
        <w:t>采购合同</w:t>
      </w:r>
      <w:r>
        <w:rPr>
          <w:rFonts w:ascii="仿宋" w:hAnsi="仿宋" w:eastAsia="仿宋" w:cs="仿宋"/>
          <w:bCs/>
          <w:spacing w:val="-6"/>
          <w:szCs w:val="21"/>
        </w:rPr>
        <w:t>总价</w:t>
      </w:r>
      <w:r>
        <w:rPr>
          <w:rFonts w:hint="eastAsia" w:ascii="仿宋" w:hAnsi="仿宋" w:eastAsia="仿宋" w:cs="仿宋"/>
          <w:bCs/>
          <w:spacing w:val="-6"/>
          <w:szCs w:val="21"/>
        </w:rPr>
        <w:t>3</w:t>
      </w:r>
      <w:r>
        <w:rPr>
          <w:rFonts w:ascii="仿宋" w:hAnsi="仿宋" w:eastAsia="仿宋" w:cs="仿宋"/>
          <w:bCs/>
          <w:spacing w:val="-6"/>
          <w:szCs w:val="21"/>
        </w:rPr>
        <w:t>%的履约保证金，作为</w:t>
      </w:r>
      <w:r>
        <w:rPr>
          <w:rFonts w:hint="eastAsia" w:ascii="仿宋" w:hAnsi="仿宋" w:eastAsia="仿宋" w:cs="仿宋"/>
          <w:bCs/>
          <w:spacing w:val="-6"/>
          <w:szCs w:val="21"/>
        </w:rPr>
        <w:t>乙方</w:t>
      </w:r>
      <w:r>
        <w:rPr>
          <w:rFonts w:ascii="仿宋" w:hAnsi="仿宋" w:eastAsia="仿宋" w:cs="仿宋"/>
          <w:bCs/>
          <w:spacing w:val="-6"/>
          <w:szCs w:val="21"/>
        </w:rPr>
        <w:t>认真履行</w:t>
      </w:r>
      <w:r>
        <w:rPr>
          <w:rFonts w:hint="eastAsia" w:ascii="仿宋" w:hAnsi="仿宋" w:eastAsia="仿宋" w:cs="仿宋"/>
          <w:bCs/>
          <w:spacing w:val="-6"/>
          <w:szCs w:val="21"/>
        </w:rPr>
        <w:t>采购合同</w:t>
      </w:r>
      <w:r>
        <w:rPr>
          <w:rFonts w:ascii="仿宋" w:hAnsi="仿宋" w:eastAsia="仿宋" w:cs="仿宋"/>
          <w:bCs/>
          <w:spacing w:val="-6"/>
          <w:szCs w:val="21"/>
        </w:rPr>
        <w:t>条款的保证</w:t>
      </w:r>
      <w:r>
        <w:rPr>
          <w:rFonts w:hint="eastAsia" w:ascii="仿宋" w:hAnsi="仿宋" w:eastAsia="仿宋" w:cs="仿宋"/>
          <w:bCs/>
          <w:spacing w:val="-6"/>
          <w:szCs w:val="21"/>
        </w:rPr>
        <w:t>。</w:t>
      </w:r>
    </w:p>
    <w:p w14:paraId="3CE39852">
      <w:pPr>
        <w:adjustRightInd w:val="0"/>
        <w:snapToGrid w:val="0"/>
        <w:spacing w:line="288" w:lineRule="auto"/>
        <w:ind w:firstLine="396" w:firstLineChars="200"/>
        <w:rPr>
          <w:rFonts w:hint="eastAsia" w:ascii="仿宋" w:hAnsi="仿宋" w:eastAsia="仿宋" w:cs="仿宋"/>
          <w:bCs/>
          <w:spacing w:val="-6"/>
          <w:szCs w:val="21"/>
        </w:rPr>
      </w:pPr>
      <w:r>
        <w:rPr>
          <w:rFonts w:ascii="仿宋" w:hAnsi="仿宋" w:eastAsia="仿宋" w:cs="仿宋"/>
          <w:bCs/>
          <w:spacing w:val="-6"/>
          <w:szCs w:val="21"/>
        </w:rPr>
        <w:t>2.</w:t>
      </w:r>
      <w:r>
        <w:rPr>
          <w:rFonts w:hint="eastAsia" w:ascii="仿宋" w:hAnsi="仿宋" w:eastAsia="仿宋" w:cs="仿宋"/>
          <w:bCs/>
          <w:spacing w:val="-6"/>
          <w:szCs w:val="21"/>
        </w:rPr>
        <w:t>乙方</w:t>
      </w:r>
      <w:r>
        <w:rPr>
          <w:rFonts w:ascii="仿宋" w:hAnsi="仿宋" w:eastAsia="仿宋" w:cs="仿宋"/>
          <w:bCs/>
          <w:spacing w:val="-6"/>
          <w:szCs w:val="21"/>
        </w:rPr>
        <w:t>没有履行</w:t>
      </w:r>
      <w:r>
        <w:rPr>
          <w:rFonts w:hint="eastAsia" w:ascii="仿宋" w:hAnsi="仿宋" w:eastAsia="仿宋" w:cs="仿宋"/>
          <w:bCs/>
          <w:spacing w:val="-6"/>
          <w:szCs w:val="21"/>
        </w:rPr>
        <w:t>采购合同</w:t>
      </w:r>
      <w:r>
        <w:rPr>
          <w:rFonts w:ascii="仿宋" w:hAnsi="仿宋" w:eastAsia="仿宋" w:cs="仿宋"/>
          <w:bCs/>
          <w:spacing w:val="-6"/>
          <w:szCs w:val="21"/>
        </w:rPr>
        <w:t>项下约定的责任和义务所需承担的违约金、赔偿金及其他费用，</w:t>
      </w:r>
      <w:r>
        <w:rPr>
          <w:rFonts w:hint="eastAsia" w:ascii="仿宋" w:hAnsi="仿宋" w:eastAsia="仿宋" w:cs="仿宋"/>
          <w:bCs/>
          <w:spacing w:val="-6"/>
          <w:szCs w:val="21"/>
        </w:rPr>
        <w:t>甲方</w:t>
      </w:r>
      <w:r>
        <w:rPr>
          <w:rFonts w:ascii="仿宋" w:hAnsi="仿宋" w:eastAsia="仿宋" w:cs="仿宋"/>
          <w:bCs/>
          <w:spacing w:val="-6"/>
          <w:szCs w:val="21"/>
        </w:rPr>
        <w:t>有权直接从履约保证金中扣除，履约保证金中不足以扣除的，</w:t>
      </w:r>
      <w:r>
        <w:rPr>
          <w:rFonts w:hint="eastAsia" w:ascii="仿宋" w:hAnsi="仿宋" w:eastAsia="仿宋" w:cs="仿宋"/>
          <w:bCs/>
          <w:spacing w:val="-6"/>
          <w:szCs w:val="21"/>
        </w:rPr>
        <w:t>甲方</w:t>
      </w:r>
      <w:r>
        <w:rPr>
          <w:rFonts w:ascii="仿宋" w:hAnsi="仿宋" w:eastAsia="仿宋" w:cs="仿宋"/>
          <w:bCs/>
          <w:spacing w:val="-6"/>
          <w:szCs w:val="21"/>
        </w:rPr>
        <w:t>有权从任何一笔货款中扣除。剩余履约保证金（如有）</w:t>
      </w:r>
      <w:r>
        <w:rPr>
          <w:rFonts w:hint="eastAsia" w:ascii="仿宋" w:hAnsi="仿宋" w:eastAsia="仿宋" w:cs="仿宋"/>
          <w:bCs/>
          <w:spacing w:val="-6"/>
          <w:szCs w:val="21"/>
        </w:rPr>
        <w:t>质保期满后</w:t>
      </w:r>
      <w:r>
        <w:rPr>
          <w:rFonts w:ascii="仿宋" w:hAnsi="仿宋" w:eastAsia="仿宋" w:cs="仿宋"/>
          <w:bCs/>
          <w:spacing w:val="-6"/>
          <w:szCs w:val="21"/>
        </w:rPr>
        <w:t>由</w:t>
      </w:r>
      <w:r>
        <w:rPr>
          <w:rFonts w:hint="eastAsia" w:ascii="仿宋" w:hAnsi="仿宋" w:eastAsia="仿宋" w:cs="仿宋"/>
          <w:bCs/>
          <w:spacing w:val="-6"/>
          <w:szCs w:val="21"/>
        </w:rPr>
        <w:t>甲方</w:t>
      </w:r>
      <w:r>
        <w:rPr>
          <w:rFonts w:ascii="仿宋" w:hAnsi="仿宋" w:eastAsia="仿宋" w:cs="仿宋"/>
          <w:bCs/>
          <w:spacing w:val="-6"/>
          <w:szCs w:val="21"/>
        </w:rPr>
        <w:t>无息返还给</w:t>
      </w:r>
      <w:r>
        <w:rPr>
          <w:rFonts w:hint="eastAsia" w:ascii="仿宋" w:hAnsi="仿宋" w:eastAsia="仿宋" w:cs="仿宋"/>
          <w:bCs/>
          <w:spacing w:val="-6"/>
          <w:szCs w:val="21"/>
        </w:rPr>
        <w:t>乙方</w:t>
      </w:r>
      <w:r>
        <w:rPr>
          <w:rFonts w:ascii="仿宋" w:hAnsi="仿宋" w:eastAsia="仿宋" w:cs="仿宋"/>
          <w:bCs/>
          <w:spacing w:val="-6"/>
          <w:szCs w:val="21"/>
        </w:rPr>
        <w:t>。</w:t>
      </w:r>
    </w:p>
    <w:p w14:paraId="3435F63A">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第四条：质量保证与售后服务</w:t>
      </w:r>
    </w:p>
    <w:p w14:paraId="684ECB35">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1.质量保证</w:t>
      </w:r>
    </w:p>
    <w:p w14:paraId="4A19E81F">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1.1 合同产品为原厂商生产的、完整、全新、未使用过的（不接受二手和翻新），且不得低于国家相关技术标准和质量要求的出厂原装合格产品；</w:t>
      </w:r>
    </w:p>
    <w:p w14:paraId="31DD9F49">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1.2 乙方须保证甲方产品需求的完整性，如项目实施过程中因缺少必备的设备、配件或服务导致甲方产品无法正常运行的，乙方须补足，费用包含在合同总价中。</w:t>
      </w:r>
    </w:p>
    <w:p w14:paraId="08426CB9">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2.乙方需向甲方提供</w:t>
      </w:r>
      <w:r>
        <w:rPr>
          <w:rFonts w:hint="eastAsia" w:ascii="仿宋" w:hAnsi="仿宋" w:eastAsia="仿宋" w:cs="仿宋"/>
          <w:szCs w:val="21"/>
        </w:rPr>
        <w:t>【 】</w:t>
      </w:r>
      <w:r>
        <w:rPr>
          <w:rFonts w:hint="eastAsia" w:ascii="仿宋" w:hAnsi="仿宋" w:eastAsia="仿宋" w:cs="仿宋"/>
          <w:spacing w:val="-6"/>
          <w:szCs w:val="21"/>
        </w:rPr>
        <w:t>年的货物质保期，期限自最终验收合格之日起算，如质保期届满仍有质量和服务问题未解决，质保期延续至经甲方确认无任何质量和服务问题止；</w:t>
      </w:r>
    </w:p>
    <w:p w14:paraId="7E5DB134">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3.售后服务</w:t>
      </w:r>
    </w:p>
    <w:p w14:paraId="39DA4E34">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3.1 质保期内：为甲方的设备提供免费维护、保养及免费更换损坏的和有缺陷的零部件，如发生故障且48小时内无法修复的情况每发生一次，其质保期相应延长90天，质保期满前1个月内免费全面检查一次并形成正式报告，如发现潜在问题负责排除；</w:t>
      </w:r>
    </w:p>
    <w:p w14:paraId="78377978">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3.2 质保期外：对设备提供终身优惠的技术支持及技术跟踪服务，仅按优惠收取相应的成本费，免人工费、差旅费等其他一切费用；</w:t>
      </w:r>
    </w:p>
    <w:p w14:paraId="7A8FB7D4">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3.3 乙方保证完成涉及设备操作软件、功能或相关程序的终身免费升级，且在接到甲方通知后在规定时间内完成。</w:t>
      </w:r>
    </w:p>
    <w:p w14:paraId="2B0ED716">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4.书面验收合格后（含质保期外）发生相应问题的响应时间</w:t>
      </w:r>
    </w:p>
    <w:p w14:paraId="3AA69575">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4.1 维修响应时间：提供每周7*24h电话维修服务，电话响应时间为【】小时内；</w:t>
      </w:r>
    </w:p>
    <w:p w14:paraId="077271D4">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4.2 上门维修响应时间：【】小时内无法依靠电话服务解决故障的在【】小时内到达甲方现场；</w:t>
      </w:r>
    </w:p>
    <w:p w14:paraId="1AF5EA3F">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4.3 解决问题时间：不超过【】个工作日（特殊情况另行协商）；</w:t>
      </w:r>
    </w:p>
    <w:p w14:paraId="409DF428">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4.4 重大问题或其它无法立刻解决的问题应在甲方要求时间内解决或提出明确的解决方案直至甲方满意（如设备返厂维修期间提供满足使用要求的备用机、退货等处理）。</w:t>
      </w:r>
    </w:p>
    <w:p w14:paraId="4855EDFC">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第五条：交付时间、地点</w:t>
      </w:r>
    </w:p>
    <w:p w14:paraId="69E1BDFE">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1.交付时间：</w:t>
      </w:r>
      <w:r>
        <w:rPr>
          <w:rFonts w:hint="eastAsia" w:ascii="仿宋" w:hAnsi="仿宋" w:eastAsia="仿宋" w:cs="仿宋"/>
          <w:szCs w:val="21"/>
        </w:rPr>
        <w:t>合同签订后【】个月内</w:t>
      </w:r>
      <w:r>
        <w:rPr>
          <w:rFonts w:hint="eastAsia" w:ascii="仿宋" w:hAnsi="仿宋" w:eastAsia="仿宋" w:cs="仿宋"/>
          <w:spacing w:val="-6"/>
          <w:szCs w:val="21"/>
        </w:rPr>
        <w:t>（该期限含完成产品到货、安装、调试、培训、通过甲方书面验收合格等所有事项，故乙方应当自行把握相应时间节点的工作内容并及时书面提示甲方组织验收）；</w:t>
      </w:r>
    </w:p>
    <w:p w14:paraId="3A628532">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2.交付地点：甲方指定地点；</w:t>
      </w:r>
    </w:p>
    <w:p w14:paraId="62586028">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3.本合同约定的设备交付为通过甲方书面验收合格后的交付，书面验收合格前在货物装卸、安装、调试等过程中发生的非甲方原因导致的一切损毁、灭失、质量、人身损害等一切风险和责任均由乙方承担。</w:t>
      </w:r>
    </w:p>
    <w:p w14:paraId="69C62791">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第六条：其他技术、服务要求</w:t>
      </w:r>
    </w:p>
    <w:p w14:paraId="3A2B1E0B">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1.技术支持：乙方应及时免费提供合同货物软件的升级，免费提供合同货物新功能和应用的资料；</w:t>
      </w:r>
    </w:p>
    <w:p w14:paraId="01ED30A4">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2.培训</w:t>
      </w:r>
    </w:p>
    <w:p w14:paraId="475CD749">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2.1 乙方应免费对甲方人员进行设备操作、保养、维修等培训，并作为验收合格的前提条件；</w:t>
      </w:r>
    </w:p>
    <w:p w14:paraId="09C2771A">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2.2 乙方应提供相应的培训计划。</w:t>
      </w:r>
    </w:p>
    <w:p w14:paraId="00CC3784">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3.安装调试（若需要安装调试）</w:t>
      </w:r>
    </w:p>
    <w:p w14:paraId="31AB9A27">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3.1 安装地点：甲方指定地点；</w:t>
      </w:r>
    </w:p>
    <w:p w14:paraId="0E08DEBF">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3.2 安装完成时间：由乙方自行把控在规定的时间内完成安装和调试；</w:t>
      </w:r>
    </w:p>
    <w:p w14:paraId="374D7E77">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3.3 如乙方委托国内代理（或其他机构）负责安装或配合安装应在签约时指明，相应的合同责任由乙方承担；</w:t>
      </w:r>
    </w:p>
    <w:p w14:paraId="55EA48F1">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3.4 安装标准：符合合同约定及我国国家有关技术规范要求和技术标准，所有的软件和硬件必须保证同时安装到位。</w:t>
      </w:r>
    </w:p>
    <w:p w14:paraId="21344AA3">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4.供货时提供有关的全套技术文件（如产品说明书、参数标准、质量保证书、保修证明、操作维修保养说明、相关配套使用手册等）；</w:t>
      </w:r>
    </w:p>
    <w:p w14:paraId="243E1CC8">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5.保证所提供的货物或与该货物有关的一切权利均不会侵犯任何第三方的知识产权。</w:t>
      </w:r>
    </w:p>
    <w:p w14:paraId="7EF58975">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第七条：验收标准</w:t>
      </w:r>
    </w:p>
    <w:p w14:paraId="7CA36CF4">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1.验收由乙方安装调试并提示后由甲方组织实施；</w:t>
      </w:r>
    </w:p>
    <w:p w14:paraId="2C035FED">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2.验收依据</w:t>
      </w:r>
    </w:p>
    <w:p w14:paraId="4CC1BD06">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2.1 合同、询价文件、响应文件；</w:t>
      </w:r>
    </w:p>
    <w:p w14:paraId="20B0F1A2">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2.2 乙方提供的技术规格、参数标准、经甲方认可的合同货物的有效检验文件；</w:t>
      </w:r>
    </w:p>
    <w:p w14:paraId="187DABEF">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2.3 乙方响应文件中提供的经甲方认可的合同货物的验收标准（符合中国有关的国家、地方、行业标准）和检测办法及相应检测手段。</w:t>
      </w:r>
    </w:p>
    <w:p w14:paraId="35AD4781">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3.乙方应派员在所供货物到甲方指定地点时进行到货初步验收，有需要时能联系产品制造商到场共同验收，若发现任何损坏及质量问题，乙方负责妥善处理直至甲方满意，由此产生的费用由乙方承担；</w:t>
      </w:r>
    </w:p>
    <w:p w14:paraId="4ABF3B8E">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4.书面验收合格的条件</w:t>
      </w:r>
    </w:p>
    <w:p w14:paraId="4B79384E">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4.1 所供货物符合产品标准和询价文件及合同的要求；</w:t>
      </w:r>
    </w:p>
    <w:p w14:paraId="70FACC8A">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4.2 在进行测试和验收过程中发现的问题已被解决并得到甲方的认可；</w:t>
      </w:r>
    </w:p>
    <w:p w14:paraId="10C3642C">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4.3 合同中规定的所有货物和材料均已交付；</w:t>
      </w:r>
    </w:p>
    <w:p w14:paraId="61A036DB">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4.4 所供货物已通过使用单位组织的验收；</w:t>
      </w:r>
    </w:p>
    <w:p w14:paraId="4F18BDB2">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4.5 所有相关的技术文件及资料均已提交并得到接受；</w:t>
      </w:r>
    </w:p>
    <w:p w14:paraId="3ACFCAA9">
      <w:pPr>
        <w:spacing w:line="400" w:lineRule="exact"/>
        <w:ind w:firstLine="396" w:firstLineChars="200"/>
        <w:rPr>
          <w:rFonts w:ascii="仿宋" w:hAnsi="仿宋" w:eastAsia="仿宋" w:cs="仿宋"/>
          <w:spacing w:val="-6"/>
          <w:szCs w:val="21"/>
        </w:rPr>
      </w:pPr>
      <w:r>
        <w:rPr>
          <w:rFonts w:hint="eastAsia" w:ascii="仿宋" w:hAnsi="仿宋" w:eastAsia="仿宋" w:cs="仿宋"/>
          <w:spacing w:val="-6"/>
          <w:szCs w:val="21"/>
        </w:rPr>
        <w:t>4.6 乙方已完成对甲方人员的设备操作、保养、维修等培训。</w:t>
      </w:r>
    </w:p>
    <w:p w14:paraId="3C55E0A5">
      <w:pPr>
        <w:spacing w:line="400" w:lineRule="exact"/>
        <w:ind w:firstLine="396" w:firstLineChars="200"/>
        <w:rPr>
          <w:rFonts w:hint="eastAsia" w:ascii="仿宋" w:hAnsi="仿宋" w:eastAsia="仿宋" w:cs="仿宋"/>
          <w:spacing w:val="-6"/>
          <w:szCs w:val="21"/>
        </w:rPr>
      </w:pPr>
      <w:r>
        <w:rPr>
          <w:rFonts w:hint="eastAsia" w:ascii="仿宋" w:hAnsi="仿宋" w:eastAsia="仿宋" w:cs="仿宋"/>
          <w:spacing w:val="-6"/>
          <w:szCs w:val="21"/>
        </w:rPr>
        <w:t>4.7供应商必须在验收现场提供必要的技术支持，验收如产生费用由供应商承担。</w:t>
      </w:r>
    </w:p>
    <w:p w14:paraId="155D7CCA">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5.验收结论</w:t>
      </w:r>
    </w:p>
    <w:p w14:paraId="33E04C43">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甲方的验收结论，仅（排他任何形式）以甲方书面盖章确定的验收证明为准。</w:t>
      </w:r>
    </w:p>
    <w:p w14:paraId="69951327">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第八条：违约责任</w:t>
      </w:r>
    </w:p>
    <w:p w14:paraId="3A1A1C73">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乙方逾期履行合同（含逾期交付、逾期验收、逾期响应、逾期解决问题等合同约定的乙方一切义务事项）的，自逾期之日起，向甲方每日偿付合同总价0.5%的滞纳金。如逾期超过30天，甲方有权解除合同，甲方无须向乙方支付任何款项，乙方应向甲方返还全部已支付价款，乙方还应向甲方支付合同总价20%的违约金，乙方并应自收到甲方清场通知之日起10天内清场完毕，否则，视为乙方放弃留存现场的所有物材，甲方可自行处置，乙方不得以甲方处置所得款项抵扣应付甲方的任何款项，且需支付甲方因此产生的搬迁费、场地费等；</w:t>
      </w:r>
    </w:p>
    <w:p w14:paraId="4322B95C">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2.甲方逾期支付货款的，自逾期之日起，向乙方每日偿付未付价款0.5%的滞纳金；</w:t>
      </w:r>
    </w:p>
    <w:p w14:paraId="78B99846">
      <w:pPr>
        <w:adjustRightInd w:val="0"/>
        <w:snapToGrid w:val="0"/>
        <w:spacing w:line="288" w:lineRule="auto"/>
        <w:ind w:right="23" w:rightChars="11" w:firstLine="396" w:firstLineChars="200"/>
        <w:rPr>
          <w:rFonts w:hint="eastAsia" w:ascii="仿宋" w:hAnsi="仿宋" w:eastAsia="仿宋" w:cs="仿宋"/>
          <w:spacing w:val="-6"/>
          <w:szCs w:val="21"/>
        </w:rPr>
      </w:pPr>
      <w:r>
        <w:rPr>
          <w:rFonts w:hint="eastAsia" w:ascii="仿宋" w:hAnsi="仿宋" w:eastAsia="仿宋" w:cs="仿宋"/>
          <w:spacing w:val="-6"/>
          <w:szCs w:val="21"/>
        </w:rPr>
        <w:t>3.如经甲方组织验收不能达到验收标准，合同商品由乙方在甲方通知不予验收合格后一周内运离安装地点，所需费用由乙方承担。如乙方在一个月内不处理（搬走）合同商品，视为乙方放弃该商品，甲方有权自行处置（包括废物处理），乙方不得以甲方处置所得款项抵扣应付甲方的任何款项，支付甲方因此产生的搬迁费、场地费等，同时，乙方应向甲方支付总货款的20%作为违约赔偿金；</w:t>
      </w:r>
    </w:p>
    <w:p w14:paraId="580555AA">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4.乙方所交的货物品种、型号、规格、技术参数、质量等不符合合同规定及询价文件规定标准的，甲方有权拒收该货物，或不予通过验收合格，乙方愿意更换货物但逾期交货的，按本条第1款乙方逾期交货处理。乙方拒绝更换货物的，甲方可单方面解除合同；</w:t>
      </w:r>
    </w:p>
    <w:p w14:paraId="248B33DC">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5.守约方因主张权利而产生的一切费用（包括但不限于律师费、诉讼费、财产保全担保费等）均由违约方承担。</w:t>
      </w:r>
    </w:p>
    <w:p w14:paraId="4DAABA74">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第九条：不可抗力事件处理</w:t>
      </w:r>
    </w:p>
    <w:p w14:paraId="740B4015">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1.在合同有效期内，任何一方因不可抗力事件导致不能履行合同，则合同履行期可延长，其延长期与不可抗力影响期相同；</w:t>
      </w:r>
    </w:p>
    <w:p w14:paraId="671DAF82">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2.不可抗力事件发生后，应立即通知对方，并寄送有关权威机构出具的证明；</w:t>
      </w:r>
    </w:p>
    <w:p w14:paraId="301EF739">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3.不可抗力事件延续30天以上，双方应通过友好协商，确定是否继续履行合同；</w:t>
      </w:r>
    </w:p>
    <w:p w14:paraId="0362E0EA">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第十条：争议解决</w:t>
      </w:r>
    </w:p>
    <w:p w14:paraId="32C54A9F">
      <w:pPr>
        <w:adjustRightInd w:val="0"/>
        <w:snapToGrid w:val="0"/>
        <w:spacing w:line="288" w:lineRule="auto"/>
        <w:ind w:right="23" w:rightChars="11" w:firstLine="396" w:firstLineChars="200"/>
        <w:rPr>
          <w:rFonts w:hint="eastAsia" w:ascii="仿宋" w:hAnsi="仿宋" w:eastAsia="仿宋" w:cs="仿宋"/>
          <w:spacing w:val="-6"/>
          <w:szCs w:val="21"/>
        </w:rPr>
      </w:pPr>
      <w:r>
        <w:rPr>
          <w:rFonts w:hint="eastAsia" w:ascii="仿宋" w:hAnsi="仿宋" w:eastAsia="仿宋" w:cs="仿宋"/>
          <w:spacing w:val="-6"/>
          <w:szCs w:val="21"/>
        </w:rPr>
        <w:t>因本合同发生纠纷，甲乙双方应当及时协商，协商不成时，任何一方可向甲方所在地仲裁委员会申请仲裁解决。</w:t>
      </w:r>
    </w:p>
    <w:p w14:paraId="710F1648">
      <w:pPr>
        <w:adjustRightInd w:val="0"/>
        <w:snapToGrid w:val="0"/>
        <w:spacing w:line="288" w:lineRule="auto"/>
        <w:ind w:firstLine="398" w:firstLineChars="200"/>
        <w:rPr>
          <w:rFonts w:hint="eastAsia" w:ascii="仿宋" w:hAnsi="仿宋" w:eastAsia="仿宋" w:cs="仿宋"/>
          <w:b/>
          <w:spacing w:val="-6"/>
          <w:szCs w:val="21"/>
        </w:rPr>
      </w:pPr>
      <w:r>
        <w:rPr>
          <w:rFonts w:hint="eastAsia" w:ascii="仿宋" w:hAnsi="仿宋" w:eastAsia="仿宋" w:cs="仿宋"/>
          <w:b/>
          <w:spacing w:val="-6"/>
          <w:szCs w:val="21"/>
        </w:rPr>
        <w:t>第十一条：合同生效</w:t>
      </w:r>
    </w:p>
    <w:p w14:paraId="7B09FD16">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1.合同经甲、乙双方法定代表人或授权代表签字并加盖单位公章后生效；</w:t>
      </w:r>
    </w:p>
    <w:p w14:paraId="07C14752">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2.本合同一式【</w:t>
      </w:r>
      <w:r>
        <w:rPr>
          <w:rFonts w:ascii="仿宋" w:hAnsi="仿宋" w:eastAsia="仿宋" w:cs="仿宋"/>
          <w:spacing w:val="-6"/>
          <w:szCs w:val="21"/>
        </w:rPr>
        <w:t>4</w:t>
      </w:r>
      <w:r>
        <w:rPr>
          <w:rFonts w:hint="eastAsia" w:ascii="仿宋" w:hAnsi="仿宋" w:eastAsia="仿宋" w:cs="仿宋"/>
          <w:spacing w:val="-6"/>
          <w:szCs w:val="21"/>
        </w:rPr>
        <w:t>】份，甲方执【</w:t>
      </w:r>
      <w:r>
        <w:rPr>
          <w:rFonts w:ascii="仿宋" w:hAnsi="仿宋" w:eastAsia="仿宋" w:cs="仿宋"/>
          <w:spacing w:val="-6"/>
          <w:szCs w:val="21"/>
        </w:rPr>
        <w:t>3</w:t>
      </w:r>
      <w:r>
        <w:rPr>
          <w:rFonts w:hint="eastAsia" w:ascii="仿宋" w:hAnsi="仿宋" w:eastAsia="仿宋" w:cs="仿宋"/>
          <w:spacing w:val="-6"/>
          <w:szCs w:val="21"/>
        </w:rPr>
        <w:t>】份，乙方执【1】份，具有同等法律效力；</w:t>
      </w:r>
    </w:p>
    <w:p w14:paraId="585E3131">
      <w:pPr>
        <w:adjustRightInd w:val="0"/>
        <w:snapToGrid w:val="0"/>
        <w:spacing w:line="288" w:lineRule="auto"/>
        <w:ind w:firstLine="396" w:firstLineChars="200"/>
        <w:rPr>
          <w:rFonts w:hint="eastAsia" w:ascii="仿宋" w:hAnsi="仿宋" w:eastAsia="仿宋" w:cs="仿宋"/>
          <w:spacing w:val="-6"/>
          <w:szCs w:val="21"/>
        </w:rPr>
      </w:pPr>
      <w:r>
        <w:rPr>
          <w:rFonts w:hint="eastAsia" w:ascii="仿宋" w:hAnsi="仿宋" w:eastAsia="仿宋" w:cs="仿宋"/>
          <w:spacing w:val="-6"/>
          <w:szCs w:val="21"/>
        </w:rPr>
        <w:t>3.本合同附件、询价文件、响应文件均为合同的组成部分，与本合同具有同等法律效力。</w:t>
      </w:r>
    </w:p>
    <w:tbl>
      <w:tblPr>
        <w:tblStyle w:val="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4"/>
        <w:gridCol w:w="4814"/>
      </w:tblGrid>
      <w:tr w14:paraId="6838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14" w:type="dxa"/>
            <w:noWrap w:val="0"/>
            <w:vAlign w:val="center"/>
          </w:tcPr>
          <w:p w14:paraId="71B0E45A">
            <w:pPr>
              <w:rPr>
                <w:rFonts w:hint="eastAsia" w:ascii="仿宋" w:hAnsi="仿宋" w:eastAsia="仿宋" w:cs="仿宋"/>
              </w:rPr>
            </w:pPr>
            <w:r>
              <w:rPr>
                <w:rFonts w:hint="eastAsia" w:ascii="仿宋" w:hAnsi="仿宋" w:eastAsia="仿宋" w:cs="仿宋"/>
              </w:rPr>
              <w:t>甲方（需方）：浙江光电子研究院</w:t>
            </w:r>
          </w:p>
          <w:p w14:paraId="7D14C8D9">
            <w:pPr>
              <w:rPr>
                <w:rFonts w:hint="eastAsia" w:ascii="仿宋" w:hAnsi="仿宋" w:eastAsia="仿宋" w:cs="仿宋"/>
              </w:rPr>
            </w:pPr>
            <w:r>
              <w:rPr>
                <w:rFonts w:hint="eastAsia" w:ascii="仿宋" w:hAnsi="仿宋" w:eastAsia="仿宋" w:cs="仿宋"/>
              </w:rPr>
              <w:t>（盖章）</w:t>
            </w:r>
          </w:p>
          <w:p w14:paraId="229EA71B">
            <w:pPr>
              <w:rPr>
                <w:rFonts w:hint="eastAsia" w:ascii="仿宋" w:hAnsi="仿宋" w:eastAsia="仿宋" w:cs="仿宋"/>
              </w:rPr>
            </w:pPr>
          </w:p>
        </w:tc>
        <w:tc>
          <w:tcPr>
            <w:tcW w:w="4814" w:type="dxa"/>
            <w:noWrap w:val="0"/>
            <w:vAlign w:val="center"/>
          </w:tcPr>
          <w:p w14:paraId="26729A20">
            <w:pPr>
              <w:rPr>
                <w:rFonts w:hint="eastAsia" w:ascii="仿宋" w:hAnsi="仿宋" w:eastAsia="仿宋" w:cs="仿宋"/>
                <w:szCs w:val="21"/>
              </w:rPr>
            </w:pPr>
            <w:r>
              <w:rPr>
                <w:rFonts w:hint="eastAsia" w:ascii="仿宋" w:hAnsi="仿宋" w:eastAsia="仿宋" w:cs="仿宋"/>
                <w:szCs w:val="21"/>
              </w:rPr>
              <w:t>乙方（供方）：（盖章）</w:t>
            </w:r>
          </w:p>
          <w:p w14:paraId="1B094C09">
            <w:pPr>
              <w:rPr>
                <w:rFonts w:hint="eastAsia" w:ascii="仿宋" w:hAnsi="仿宋" w:eastAsia="仿宋" w:cs="仿宋"/>
                <w:szCs w:val="21"/>
              </w:rPr>
            </w:pPr>
          </w:p>
        </w:tc>
      </w:tr>
      <w:tr w14:paraId="7A56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14" w:type="dxa"/>
            <w:noWrap w:val="0"/>
            <w:vAlign w:val="center"/>
          </w:tcPr>
          <w:p w14:paraId="3C1A0807">
            <w:pPr>
              <w:rPr>
                <w:rFonts w:hint="eastAsia" w:ascii="仿宋" w:hAnsi="仿宋" w:eastAsia="仿宋" w:cs="仿宋"/>
              </w:rPr>
            </w:pPr>
            <w:r>
              <w:rPr>
                <w:rFonts w:hint="eastAsia" w:ascii="仿宋" w:hAnsi="仿宋" w:eastAsia="仿宋" w:cs="仿宋"/>
              </w:rPr>
              <w:t>甲方代表：</w:t>
            </w:r>
          </w:p>
          <w:p w14:paraId="6A6B0F5E">
            <w:pPr>
              <w:rPr>
                <w:rFonts w:hint="eastAsia" w:ascii="仿宋" w:hAnsi="仿宋" w:eastAsia="仿宋" w:cs="仿宋"/>
              </w:rPr>
            </w:pPr>
            <w:r>
              <w:rPr>
                <w:rFonts w:hint="eastAsia" w:ascii="仿宋" w:hAnsi="仿宋" w:eastAsia="仿宋" w:cs="仿宋"/>
              </w:rPr>
              <w:t>（签字）</w:t>
            </w:r>
          </w:p>
        </w:tc>
        <w:tc>
          <w:tcPr>
            <w:tcW w:w="4814" w:type="dxa"/>
            <w:noWrap w:val="0"/>
            <w:vAlign w:val="center"/>
          </w:tcPr>
          <w:p w14:paraId="3BEBA559">
            <w:pPr>
              <w:rPr>
                <w:rFonts w:hint="eastAsia" w:ascii="仿宋" w:hAnsi="仿宋" w:eastAsia="仿宋" w:cs="仿宋"/>
                <w:szCs w:val="21"/>
              </w:rPr>
            </w:pPr>
            <w:r>
              <w:rPr>
                <w:rFonts w:hint="eastAsia" w:ascii="仿宋" w:hAnsi="仿宋" w:eastAsia="仿宋" w:cs="仿宋"/>
                <w:szCs w:val="21"/>
              </w:rPr>
              <w:t>乙方代表：</w:t>
            </w:r>
          </w:p>
          <w:p w14:paraId="06E78724">
            <w:pPr>
              <w:rPr>
                <w:rFonts w:hint="eastAsia" w:ascii="仿宋" w:hAnsi="仿宋" w:eastAsia="仿宋" w:cs="仿宋"/>
                <w:szCs w:val="21"/>
              </w:rPr>
            </w:pPr>
            <w:r>
              <w:rPr>
                <w:rFonts w:hint="eastAsia" w:ascii="仿宋" w:hAnsi="仿宋" w:eastAsia="仿宋" w:cs="仿宋"/>
                <w:szCs w:val="21"/>
              </w:rPr>
              <w:t>（签字）</w:t>
            </w:r>
          </w:p>
        </w:tc>
      </w:tr>
      <w:tr w14:paraId="5EBC4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14" w:type="dxa"/>
            <w:noWrap w:val="0"/>
            <w:vAlign w:val="center"/>
          </w:tcPr>
          <w:p w14:paraId="7A39FC2B">
            <w:pPr>
              <w:rPr>
                <w:rFonts w:hint="eastAsia" w:ascii="仿宋" w:hAnsi="仿宋" w:eastAsia="仿宋" w:cs="仿宋"/>
              </w:rPr>
            </w:pPr>
            <w:r>
              <w:rPr>
                <w:rFonts w:hint="eastAsia" w:ascii="仿宋" w:hAnsi="仿宋" w:eastAsia="仿宋" w:cs="仿宋"/>
              </w:rPr>
              <w:t>地址：金华市婺城区北山路285号</w:t>
            </w:r>
          </w:p>
        </w:tc>
        <w:tc>
          <w:tcPr>
            <w:tcW w:w="4814" w:type="dxa"/>
            <w:noWrap w:val="0"/>
            <w:vAlign w:val="center"/>
          </w:tcPr>
          <w:p w14:paraId="7002682E">
            <w:pPr>
              <w:rPr>
                <w:rFonts w:hint="eastAsia" w:ascii="仿宋" w:hAnsi="仿宋" w:eastAsia="仿宋" w:cs="仿宋"/>
                <w:szCs w:val="21"/>
              </w:rPr>
            </w:pPr>
            <w:r>
              <w:rPr>
                <w:rFonts w:hint="eastAsia" w:ascii="仿宋" w:hAnsi="仿宋" w:eastAsia="仿宋" w:cs="仿宋"/>
                <w:szCs w:val="21"/>
              </w:rPr>
              <w:t>地址：</w:t>
            </w:r>
          </w:p>
        </w:tc>
      </w:tr>
      <w:tr w14:paraId="03B51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14" w:type="dxa"/>
            <w:noWrap w:val="0"/>
            <w:vAlign w:val="center"/>
          </w:tcPr>
          <w:p w14:paraId="46695699">
            <w:pPr>
              <w:rPr>
                <w:rFonts w:hint="eastAsia" w:ascii="仿宋" w:hAnsi="仿宋" w:eastAsia="仿宋" w:cs="仿宋"/>
              </w:rPr>
            </w:pPr>
            <w:r>
              <w:rPr>
                <w:rFonts w:hint="eastAsia" w:ascii="仿宋" w:hAnsi="仿宋" w:eastAsia="仿宋" w:cs="仿宋"/>
              </w:rPr>
              <w:t>电话：0</w:t>
            </w:r>
            <w:r>
              <w:rPr>
                <w:rFonts w:ascii="仿宋" w:hAnsi="仿宋" w:eastAsia="仿宋" w:cs="仿宋"/>
              </w:rPr>
              <w:t>579</w:t>
            </w:r>
            <w:r>
              <w:rPr>
                <w:rFonts w:hint="eastAsia" w:ascii="仿宋" w:hAnsi="仿宋" w:eastAsia="仿宋" w:cs="仿宋"/>
              </w:rPr>
              <w:t>-</w:t>
            </w:r>
            <w:r>
              <w:rPr>
                <w:rFonts w:ascii="仿宋" w:hAnsi="仿宋" w:eastAsia="仿宋" w:cs="仿宋"/>
              </w:rPr>
              <w:t>82286677</w:t>
            </w:r>
          </w:p>
        </w:tc>
        <w:tc>
          <w:tcPr>
            <w:tcW w:w="4814" w:type="dxa"/>
            <w:noWrap w:val="0"/>
            <w:vAlign w:val="center"/>
          </w:tcPr>
          <w:p w14:paraId="58F63A60">
            <w:pPr>
              <w:rPr>
                <w:rFonts w:hint="eastAsia" w:ascii="仿宋" w:hAnsi="仿宋" w:eastAsia="仿宋" w:cs="仿宋"/>
                <w:szCs w:val="21"/>
              </w:rPr>
            </w:pPr>
            <w:r>
              <w:rPr>
                <w:rFonts w:hint="eastAsia" w:ascii="仿宋" w:hAnsi="仿宋" w:eastAsia="仿宋" w:cs="仿宋"/>
                <w:szCs w:val="21"/>
              </w:rPr>
              <w:t>电话：</w:t>
            </w:r>
          </w:p>
        </w:tc>
      </w:tr>
      <w:tr w14:paraId="23E9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14" w:type="dxa"/>
            <w:noWrap w:val="0"/>
            <w:vAlign w:val="center"/>
          </w:tcPr>
          <w:p w14:paraId="5E303196">
            <w:pPr>
              <w:rPr>
                <w:rFonts w:hint="eastAsia" w:ascii="仿宋" w:hAnsi="仿宋" w:eastAsia="仿宋" w:cs="仿宋"/>
              </w:rPr>
            </w:pPr>
            <w:r>
              <w:rPr>
                <w:rFonts w:hint="eastAsia" w:ascii="仿宋" w:hAnsi="仿宋" w:eastAsia="仿宋" w:cs="仿宋"/>
              </w:rPr>
              <w:t>开户银行：中国农业银行金华浙师大支行</w:t>
            </w:r>
          </w:p>
        </w:tc>
        <w:tc>
          <w:tcPr>
            <w:tcW w:w="4814" w:type="dxa"/>
            <w:noWrap w:val="0"/>
            <w:vAlign w:val="center"/>
          </w:tcPr>
          <w:p w14:paraId="69E891D9">
            <w:pPr>
              <w:rPr>
                <w:rFonts w:hint="eastAsia" w:ascii="仿宋" w:hAnsi="仿宋" w:eastAsia="仿宋" w:cs="仿宋"/>
                <w:szCs w:val="21"/>
              </w:rPr>
            </w:pPr>
            <w:r>
              <w:rPr>
                <w:rFonts w:hint="eastAsia" w:ascii="仿宋" w:hAnsi="仿宋" w:eastAsia="仿宋" w:cs="仿宋"/>
                <w:szCs w:val="21"/>
              </w:rPr>
              <w:t>开户银行：</w:t>
            </w:r>
            <w:r>
              <w:rPr>
                <w:rFonts w:ascii="仿宋" w:hAnsi="仿宋" w:eastAsia="仿宋" w:cs="仿宋"/>
                <w:szCs w:val="21"/>
              </w:rPr>
              <w:t xml:space="preserve"> </w:t>
            </w:r>
          </w:p>
        </w:tc>
      </w:tr>
      <w:tr w14:paraId="77E8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14" w:type="dxa"/>
            <w:noWrap w:val="0"/>
            <w:vAlign w:val="center"/>
          </w:tcPr>
          <w:p w14:paraId="09D8154C">
            <w:pPr>
              <w:rPr>
                <w:rFonts w:hint="eastAsia" w:ascii="仿宋" w:hAnsi="仿宋" w:eastAsia="仿宋" w:cs="仿宋"/>
              </w:rPr>
            </w:pPr>
            <w:r>
              <w:rPr>
                <w:rFonts w:hint="eastAsia" w:ascii="仿宋" w:hAnsi="仿宋" w:eastAsia="仿宋" w:cs="仿宋"/>
              </w:rPr>
              <w:t>帐号：</w:t>
            </w:r>
            <w:r>
              <w:rPr>
                <w:rFonts w:ascii="仿宋" w:hAnsi="仿宋" w:eastAsia="仿宋" w:cs="仿宋"/>
              </w:rPr>
              <w:t>19615301040007394</w:t>
            </w:r>
          </w:p>
        </w:tc>
        <w:tc>
          <w:tcPr>
            <w:tcW w:w="4814" w:type="dxa"/>
            <w:noWrap w:val="0"/>
            <w:vAlign w:val="center"/>
          </w:tcPr>
          <w:p w14:paraId="237702E6">
            <w:pPr>
              <w:rPr>
                <w:rFonts w:hint="eastAsia" w:ascii="仿宋" w:hAnsi="仿宋" w:eastAsia="仿宋" w:cs="仿宋"/>
                <w:szCs w:val="21"/>
              </w:rPr>
            </w:pPr>
            <w:r>
              <w:rPr>
                <w:rFonts w:hint="eastAsia" w:ascii="仿宋" w:hAnsi="仿宋" w:eastAsia="仿宋" w:cs="仿宋"/>
                <w:szCs w:val="21"/>
              </w:rPr>
              <w:t>帐号：</w:t>
            </w:r>
          </w:p>
        </w:tc>
      </w:tr>
    </w:tbl>
    <w:p w14:paraId="22BA0C41">
      <w:bookmarkStart w:id="0" w:name="_GoBack"/>
      <w:bookmarkEnd w:id="0"/>
    </w:p>
    <w:sectPr>
      <w:headerReference r:id="rId3" w:type="default"/>
      <w:footerReference r:id="rId4" w:type="default"/>
      <w:footerReference r:id="rId5" w:type="even"/>
      <w:pgSz w:w="11907" w:h="16840"/>
      <w:pgMar w:top="1247" w:right="1134" w:bottom="1247" w:left="1134" w:header="964"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C66D7">
    <w:pPr>
      <w:pStyle w:val="4"/>
      <w:jc w:val="center"/>
    </w:pPr>
    <w:r>
      <w:fldChar w:fldCharType="begin"/>
    </w:r>
    <w:r>
      <w:instrText xml:space="preserve">PAGE   \* MERGEFORMAT</w:instrText>
    </w:r>
    <w:r>
      <w:fldChar w:fldCharType="separate"/>
    </w:r>
    <w:r>
      <w:rPr>
        <w:lang w:val="zh-CN"/>
      </w:rPr>
      <w:t>-</w:t>
    </w:r>
    <w:r>
      <w:t xml:space="preserve"> 14 -</w:t>
    </w:r>
    <w:r>
      <w:fldChar w:fldCharType="end"/>
    </w:r>
  </w:p>
  <w:p w14:paraId="1CDC7927">
    <w:pPr>
      <w:pStyle w:val="4"/>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47ADA">
    <w:pPr>
      <w:pStyle w:val="4"/>
      <w:framePr w:wrap="around" w:vAnchor="text" w:hAnchor="margin" w:xAlign="right" w:y="1"/>
      <w:rPr>
        <w:rStyle w:val="7"/>
      </w:rPr>
    </w:pPr>
    <w:r>
      <w:fldChar w:fldCharType="begin"/>
    </w:r>
    <w:r>
      <w:rPr>
        <w:rStyle w:val="7"/>
      </w:rPr>
      <w:instrText xml:space="preserve">PAGE  </w:instrText>
    </w:r>
    <w:r>
      <w:fldChar w:fldCharType="end"/>
    </w:r>
  </w:p>
  <w:p w14:paraId="28C395B4">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2B7AC">
    <w:pPr>
      <w:snapToGrid w:val="0"/>
      <w:jc w:val="center"/>
      <w:rPr>
        <w:rFonts w:ascii="Times New Roman" w:hAnsi="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61F09"/>
    <w:rsid w:val="20BF4636"/>
    <w:rsid w:val="230F36F7"/>
    <w:rsid w:val="3E4A52CA"/>
    <w:rsid w:val="424A4A6E"/>
    <w:rsid w:val="44AE67A8"/>
    <w:rsid w:val="51CE6212"/>
    <w:rsid w:val="702C1403"/>
    <w:rsid w:val="76F93952"/>
    <w:rsid w:val="7CDE4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next w:val="1"/>
    <w:qFormat/>
    <w:uiPriority w:val="99"/>
    <w:rPr>
      <w:rFonts w:ascii="宋体" w:hAnsi="Courier New"/>
      <w:szCs w:val="21"/>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szCs w:val="20"/>
    </w:rPr>
  </w:style>
  <w:style w:type="character" w:styleId="7">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3360</Words>
  <Characters>3497</Characters>
  <Lines>0</Lines>
  <Paragraphs>0</Paragraphs>
  <TotalTime>0</TotalTime>
  <ScaleCrop>false</ScaleCrop>
  <LinksUpToDate>false</LinksUpToDate>
  <CharactersWithSpaces>3547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2025-09-28T03:53:00Z</dcterms:created>
  <dc:creator>admin</dc:creator>
  <cp:lastModifiedBy>wcy</cp:lastModifiedBy>
  <dcterms:modified xsi:type="dcterms:W3CDTF">2026-06-29T02:28:13Z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eyJoZGlkIjoiMmI1ZWZlM2Y2NWVjYjUwMWNiNDY3ZDk4MzRhZjNlMTUiLCJ1c2VySWQiOiIyNDI5MDA1NDYifQ==</vt:lpwstr>
  </property>
  <property fmtid="{D5CDD505-2E9C-101B-9397-08002B2CF9AE}" pid="4" name="ICV">
    <vt:lpwstr>3B52478EBD724793A96DFDF591CD1DB6_12</vt:lpwstr>
  </property>
</Properties>
</file>